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026F6E" w:rsidRPr="00026F6E" w:rsidRDefault="00026F6E" w:rsidP="00026F6E">
      <w:pPr>
        <w:spacing w:beforeLines="40" w:before="96" w:afterLines="40" w:after="96"/>
        <w:jc w:val="center"/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aps/>
          <w:color w:val="000000" w:themeColor="text1"/>
          <w:sz w:val="20"/>
          <w:szCs w:val="20"/>
          <w:lang w:eastAsia="hr-HR"/>
        </w:rPr>
        <w:t>VRSTE POGODNOSTI</w:t>
      </w:r>
    </w:p>
    <w:p w:rsidR="00026F6E" w:rsidRPr="00026F6E" w:rsidRDefault="00026F6E" w:rsidP="00026F6E">
      <w:pPr>
        <w:spacing w:beforeLines="40" w:before="96" w:afterLines="40" w:after="9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Članak 130.</w:t>
      </w:r>
    </w:p>
    <w:p w:rsidR="00026F6E" w:rsidRPr="00026F6E" w:rsidRDefault="00026F6E" w:rsidP="00026F6E">
      <w:pPr>
        <w:spacing w:beforeLines="40" w:before="96" w:afterLines="40" w:after="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(1) Pogodnosti ublažavanja uvjeta unutar kaznionice, odnosno zatvora jesu: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1) korištenje vlastitoga televizijskog prijamnika,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2) samostalna priprava hrane i napitka,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3) uređenje životnog prostora osobnim stvarima,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4) češće primanje paketa i primanje paketa u većoj težini,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5) slobodno raspolaganje određenim novčanim iznosom s pologa unutar kaznionice, odnosno zatvora,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6) nagrađivanje novčano ili u stvarima,</w:t>
      </w:r>
    </w:p>
    <w:p w:rsidR="00026F6E" w:rsidRPr="00026F6E" w:rsidRDefault="00026F6E" w:rsidP="00026F6E">
      <w:pPr>
        <w:spacing w:beforeLines="40" w:before="96" w:afterLines="40" w:after="96"/>
        <w:ind w:firstLine="342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7) </w:t>
      </w:r>
      <w:proofErr w:type="spellStart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nezaključavanje</w:t>
      </w:r>
      <w:proofErr w:type="spellEnd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prostorija za smještaj i boravak zatvorenika,</w:t>
      </w:r>
    </w:p>
    <w:p w:rsidR="00026F6E" w:rsidRPr="00026F6E" w:rsidRDefault="00026F6E" w:rsidP="00026F6E">
      <w:pPr>
        <w:spacing w:beforeLines="40" w:before="96" w:afterLines="40" w:after="96"/>
        <w:ind w:firstLine="342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8) produljeni boravak u zajedničkim prostorijama,</w:t>
      </w:r>
    </w:p>
    <w:p w:rsidR="00026F6E" w:rsidRPr="00026F6E" w:rsidRDefault="00026F6E" w:rsidP="00026F6E">
      <w:pPr>
        <w:spacing w:beforeLines="40" w:before="96" w:afterLines="40" w:after="96"/>
        <w:ind w:firstLine="342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9) produljeni boravak na zraku,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10) korištenje godišnjeg odmora ili dijela godišnjeg odmora u poluotvorenom ili otvorenom odjelu kaznionice, odnosno zatvora,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11) raspored u odjel s blažim uvjetima izdržavanja kazne iste kaznionice, odnosno zatvora.</w:t>
      </w:r>
    </w:p>
    <w:p w:rsidR="00026F6E" w:rsidRPr="00026F6E" w:rsidRDefault="00026F6E" w:rsidP="00026F6E">
      <w:pPr>
        <w:spacing w:beforeLines="40" w:before="96" w:afterLines="40" w:after="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(2) Pogodnosti češćih dodira s vanjskim svijetom jesu: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1) češći i dulji posjeti obitelji i trećih osoba s nadzorom ili bez nadzora u kaznionici, odnosno zatvoru,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2) telefoniranje bez nadzora,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3) boravak s bračnim ili izvanbračnim drugom u posebnoj prostoriji bez nadzora,</w:t>
      </w:r>
    </w:p>
    <w:p w:rsidR="00026F6E" w:rsidRPr="00026F6E" w:rsidRDefault="00026F6E" w:rsidP="00026F6E">
      <w:pPr>
        <w:spacing w:beforeLines="40" w:before="96" w:afterLines="40" w:after="96"/>
        <w:ind w:left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4) izlazak radi izvršavanja posebnog programa koji se provodi u zajednici,</w:t>
      </w:r>
    </w:p>
    <w:p w:rsidR="00026F6E" w:rsidRPr="00026F6E" w:rsidRDefault="00026F6E" w:rsidP="00026F6E">
      <w:pPr>
        <w:spacing w:beforeLines="40" w:before="96" w:afterLines="40" w:after="96"/>
        <w:ind w:left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5) izlazak s posjetiteljem u mjesto u kojem se nalazi kaznionica, odnosno zatvor ili drugo mjesto u skladu s kućnim redom u trajanju od dva do osam sati,</w:t>
      </w:r>
    </w:p>
    <w:p w:rsidR="00026F6E" w:rsidRPr="00026F6E" w:rsidRDefault="00026F6E" w:rsidP="00026F6E">
      <w:pPr>
        <w:spacing w:beforeLines="40" w:before="96" w:afterLines="40" w:after="96"/>
        <w:ind w:left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6) izlazak bez posjeta u mjesto u kojem se nalazi kaznionica, odnosno zatvor ili drugo mjesto u skladu s kućnim redom u trajanju od dva do četiri sata,</w:t>
      </w:r>
    </w:p>
    <w:p w:rsidR="00026F6E" w:rsidRPr="00026F6E" w:rsidRDefault="00026F6E" w:rsidP="00026F6E">
      <w:pPr>
        <w:spacing w:beforeLines="40" w:before="96" w:afterLines="40" w:after="96"/>
        <w:ind w:left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7) izlazak u mjesto prebivališta, odnosno boravišta ili drugo mjesto, ili izlazak radi posjeta članovima obitelji ili drugoj osobi u ukupnom trajanju do sto dvadeset sati mjesečno, a u mjesecima u kojima su blagdani, do sto četrdeset četiri sata,</w:t>
      </w:r>
    </w:p>
    <w:p w:rsidR="00026F6E" w:rsidRPr="00026F6E" w:rsidRDefault="00026F6E" w:rsidP="00026F6E">
      <w:pPr>
        <w:spacing w:beforeLines="40" w:before="96" w:afterLines="40" w:after="96"/>
        <w:ind w:firstLine="3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8) korištenje godišnjeg odmora ili dijela godišnjeg odmora u mjestu prebivališta, odnosno boravišta ili drugom mjestu.</w:t>
      </w:r>
    </w:p>
    <w:p w:rsidR="00026F6E" w:rsidRPr="00026F6E" w:rsidRDefault="00026F6E" w:rsidP="00026F6E">
      <w:pPr>
        <w:spacing w:beforeLines="40" w:before="96" w:afterLines="40" w:after="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(3) Odluka o odobravanju i uskrati pogodnosti priopćava se zatvoreniku i bilježi u </w:t>
      </w:r>
      <w:proofErr w:type="spellStart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osobnik</w:t>
      </w:r>
      <w:proofErr w:type="spellEnd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.</w:t>
      </w:r>
    </w:p>
    <w:p w:rsidR="00026F6E" w:rsidRPr="00026F6E" w:rsidRDefault="00026F6E" w:rsidP="00026F6E">
      <w:pPr>
        <w:spacing w:beforeLines="40" w:before="96" w:afterLines="40" w:after="9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</w:pPr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(4) Na zahtjev kaznionice, odnosno zatvora prije odobravanja pogodnosti iz stavka 1. točke 10. i 11. i stavka 2. točke 4., 5., 6., 7. i 8. ovoga članka, nadležni ured za </w:t>
      </w:r>
      <w:proofErr w:type="spellStart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probaciju</w:t>
      </w:r>
      <w:proofErr w:type="spellEnd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 xml:space="preserve"> dostavit će izvješće u skladu sa zakonom koji propisuje poslove </w:t>
      </w:r>
      <w:proofErr w:type="spellStart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probacije.</w:t>
      </w:r>
      <w:proofErr w:type="spellEnd"/>
      <w:r w:rsidRPr="00026F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hr-HR"/>
        </w:rPr>
        <w:t>.</w:t>
      </w:r>
    </w:p>
    <w:p w:rsidR="00026F6E" w:rsidRPr="00ED7216" w:rsidRDefault="00026F6E" w:rsidP="00764E0A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</w:p>
    <w:p w:rsidR="00026F6E" w:rsidRPr="00ED7216" w:rsidRDefault="00026F6E" w:rsidP="00764E0A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</w:p>
    <w:p w:rsidR="00764E0A" w:rsidRPr="00ED7216" w:rsidRDefault="00764E0A" w:rsidP="00764E0A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aps/>
          <w:color w:val="000000"/>
          <w:sz w:val="20"/>
          <w:szCs w:val="20"/>
        </w:rPr>
        <w:t>ODLUČIVANJE O POGODNOSTI</w:t>
      </w:r>
    </w:p>
    <w:p w:rsidR="00764E0A" w:rsidRPr="00ED7216" w:rsidRDefault="00764E0A" w:rsidP="00764E0A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132.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(1) O pogodnosti upravitelj donosi odluku na temelju procjene uspješnosti programa izvršavanja.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(2) Prilikom odlučivanja o pogodnosti upravitelj će se voditi načelom individualizacije izvršavanja kazne.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(3) Upravitelj odlučuje o potrebi nadzora službenika </w:t>
      </w:r>
      <w:proofErr w:type="spellStart"/>
      <w:r w:rsidRPr="00ED7216">
        <w:rPr>
          <w:color w:val="000000"/>
          <w:sz w:val="20"/>
          <w:szCs w:val="20"/>
        </w:rPr>
        <w:t>probacije</w:t>
      </w:r>
      <w:proofErr w:type="spellEnd"/>
      <w:r w:rsidRPr="00ED7216">
        <w:rPr>
          <w:color w:val="000000"/>
          <w:sz w:val="20"/>
          <w:szCs w:val="20"/>
        </w:rPr>
        <w:t xml:space="preserve">, naknadi troškova, te o potrebi prijavljivanja policijskoj upravi, odnosno postaji u mjestu korištenja pogodnosti kao i o ispunjavanju obveza utvrđenih programom izvršavanja. Upravitelj će odluku o odobrenoj pogodnosti, potrebi nadzora i obvezi ispunjavanja obveza utvrđenih pojedinačnim programom izvršavanja dostaviti nadležnom uredu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>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(4) Prijavljivanje policijskoj upravi, odnosno postaji u mjestu korištenja pogodnosti zatvorenika iz članka 131. stavka 4. i 5. ovoga Zakona obvezatno je.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(5) Pobliže propise o pogodnostima zatvorenika donosi ministar nadležan za poslove pravosuđa.</w:t>
      </w:r>
    </w:p>
    <w:p w:rsidR="00764E0A" w:rsidRPr="00ED7216" w:rsidRDefault="00764E0A" w:rsidP="00764E0A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</w:p>
    <w:p w:rsidR="00026F6E" w:rsidRPr="00ED7216" w:rsidRDefault="00026F6E" w:rsidP="00026F6E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aps/>
          <w:color w:val="000000"/>
          <w:sz w:val="20"/>
          <w:szCs w:val="20"/>
        </w:rPr>
        <w:lastRenderedPageBreak/>
        <w:t>PREMJEŠTAJ U BLAŽE UVJETE IZDRŽAVANJA KAZNE</w:t>
      </w:r>
    </w:p>
    <w:p w:rsidR="00026F6E" w:rsidRPr="00ED7216" w:rsidRDefault="00026F6E" w:rsidP="00026F6E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153.</w:t>
      </w:r>
    </w:p>
    <w:p w:rsidR="00026F6E" w:rsidRPr="00ED7216" w:rsidRDefault="00026F6E" w:rsidP="00026F6E">
      <w:pPr>
        <w:pStyle w:val="t-9-8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(1) Zatvorenika se premješta u blaže uvjete izdržavanja kazne zatvora u skladu s mjerilima iz članka 49. stavka 2. ovoga Zakona.</w:t>
      </w:r>
    </w:p>
    <w:p w:rsidR="00026F6E" w:rsidRPr="00ED7216" w:rsidRDefault="00026F6E" w:rsidP="00026F6E">
      <w:pPr>
        <w:pStyle w:val="t-9-8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(2) Prije podnošenja prijedloga za premještaj zatvorenika u blaže uvjete, upravitelj može zatražiti mišljenje službenika </w:t>
      </w:r>
      <w:proofErr w:type="spellStart"/>
      <w:r w:rsidRPr="00ED7216">
        <w:rPr>
          <w:color w:val="000000"/>
          <w:sz w:val="20"/>
          <w:szCs w:val="20"/>
        </w:rPr>
        <w:t>probacije</w:t>
      </w:r>
      <w:proofErr w:type="spellEnd"/>
      <w:r w:rsidRPr="00ED7216">
        <w:rPr>
          <w:color w:val="000000"/>
          <w:sz w:val="20"/>
          <w:szCs w:val="20"/>
        </w:rPr>
        <w:t>.</w:t>
      </w:r>
    </w:p>
    <w:p w:rsidR="00026F6E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(3) Upravitelj obvezno razmatra mogućnost premještaja zatvorenika u blaže uvjete nakon izdržane pola izrečene kazne, a nakon toga svakih šest mjeseci.</w:t>
      </w:r>
    </w:p>
    <w:p w:rsidR="0080025E" w:rsidRPr="00ED7216" w:rsidRDefault="0080025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</w:p>
    <w:p w:rsidR="00026F6E" w:rsidRPr="00ED7216" w:rsidRDefault="00026F6E" w:rsidP="00026F6E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aps/>
          <w:color w:val="000000"/>
          <w:sz w:val="20"/>
          <w:szCs w:val="20"/>
        </w:rPr>
        <w:t>POSTUPAK ODOBRAVANJA PREKIDA</w:t>
      </w:r>
    </w:p>
    <w:p w:rsidR="00026F6E" w:rsidRPr="00ED7216" w:rsidRDefault="00026F6E" w:rsidP="00026F6E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156.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(1) Prekid se može odobriti na molbu zatvorenika ili člana njegove obitelji, s kojom se on suglasi, ili na prijedlog upravitelja, odnosno na prijedlog pomoćnika ministra nadležnog za zatvorski sustav.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(2) Prekid može trajati od trideset dana do devedeset dana u dvanaest mjeseci, a radi liječenja najdulje dvanaest mjeseci.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(3) Prije donošenja rješenja o prekidu, sudac izvršenja pribavit će od kaznionice, odnosno zatvora izvješće o tijeku izvršavanja kazne, te izvješće ureda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u skladu sa zakonom koji propisuje </w:t>
      </w:r>
      <w:proofErr w:type="spellStart"/>
      <w:r w:rsidRPr="00ED7216">
        <w:rPr>
          <w:color w:val="000000"/>
          <w:sz w:val="20"/>
          <w:szCs w:val="20"/>
        </w:rPr>
        <w:t>probacijske</w:t>
      </w:r>
      <w:proofErr w:type="spellEnd"/>
      <w:r w:rsidRPr="00ED7216">
        <w:rPr>
          <w:color w:val="000000"/>
          <w:sz w:val="20"/>
          <w:szCs w:val="20"/>
        </w:rPr>
        <w:t xml:space="preserve"> poslove. Protiv rješenja suca izvršenja zatvorenik i državno odvjetništvo prema mjestu izdržavanja kazne zatvorenika, imaju pravo žalbe u roku od 3 dana od dana primitka rješenja. Žalba zadržava izvršenje rješenja, a o žalbi odlučuje sudsko vijeće u roku od 3 dana od dana primitka žalbe.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(4) Rješenje o prekidu dostavlja se zatvoreniku, kaznionici, odnosno zatvoru, centru za socijalnu skrb, policijskoj upravi, odnosno policijskoj postaji i uredu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prema mjestu zatvorenikova prebivališta, odnosno boravišta, sudu upućivanja, Središnjem uredu Uprave za zatvorski sustav i zdravstvenoj ustanovi ako je prekid odobren radi bolničkog liječenja, te državnom odvjetništvu prema mjestu izvršavanja kazne zatvora.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(5) Za vrijeme trajanja prekida osuđenik se mora javljati svakih sedam dana policijskoj upravi, odnosno policijskoj postaji ili uredu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prema mjestu prebivališta, osim u slučaju bolničkog liječenja. Policijska uprava, odnosno policijska postaja te ured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obvezna su obavijestiti suca izvršenja u slučaju nejavljanja osuđenika.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(6) Osuđenik je obvezan javiti se u kaznionicu, odnosno zatvor, najkasnije na dan isteka odobrenog prekida. U slučaju ne- javljanja upravitelj će zatražiti raspisivanje tjeralice.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(7) Sudac izvršenja rješenjem će opozvati prekid ako su prestali razlozi zbog kojih je prekid odobren ili ako osuđenik čini kažnjive radnje.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(8) Centar za socijalnu skrb, državno odvjetništvo i policijska uprava, odnosno postaja te ured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obavijestit će suca izvršenja o razlozima za opoziv rješenja o prekidu.</w:t>
      </w:r>
    </w:p>
    <w:p w:rsidR="00026F6E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(9) Troškove prekida snosi osuđenik.</w:t>
      </w:r>
    </w:p>
    <w:p w:rsidR="0080025E" w:rsidRPr="00ED7216" w:rsidRDefault="0080025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</w:p>
    <w:p w:rsidR="00026F6E" w:rsidRPr="00ED7216" w:rsidRDefault="00026F6E" w:rsidP="00026F6E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aps/>
          <w:color w:val="000000"/>
          <w:sz w:val="20"/>
          <w:szCs w:val="20"/>
        </w:rPr>
        <w:t>ODLUČIVANJE O UVJETNOM OTPUSTU</w:t>
      </w:r>
    </w:p>
    <w:p w:rsidR="00026F6E" w:rsidRPr="00ED7216" w:rsidRDefault="00026F6E" w:rsidP="00026F6E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159. (NN 56/13)</w:t>
      </w:r>
    </w:p>
    <w:p w:rsidR="00026F6E" w:rsidRPr="00ED7216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(1) Nakon što zaprimi prijedlog, sudac izvršenja će, prije održavanja sjednice vijeća za uvjetne otpuste, pribaviti izvješće s mišljenjem zatvora ili kaznionice u kojem zatvorenik izdržava kaznu, izvješće </w:t>
      </w:r>
      <w:proofErr w:type="spellStart"/>
      <w:r w:rsidRPr="00ED7216">
        <w:rPr>
          <w:color w:val="000000"/>
          <w:sz w:val="20"/>
          <w:szCs w:val="20"/>
        </w:rPr>
        <w:t>probacijskog</w:t>
      </w:r>
      <w:proofErr w:type="spellEnd"/>
      <w:r w:rsidRPr="00ED7216">
        <w:rPr>
          <w:color w:val="000000"/>
          <w:sz w:val="20"/>
          <w:szCs w:val="20"/>
        </w:rPr>
        <w:t xml:space="preserve"> ureda, a po potrebi mišljenje centra za socijalnu skrb.</w:t>
      </w:r>
    </w:p>
    <w:p w:rsidR="00026F6E" w:rsidRPr="00ED7216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(2) O sjednici vijeća za uvjetne otpuste obavještava se državni odvjetnik koji je podnio prijedlog, a ako je prijedlog podnio zatvorenik, državni odvjetnik mjesno nadležan postupati pred sudom koji odlučuje o uvjetnom otpustu te opunomoćenik zatvorenika ako ga je izabrao. Uz obavijest državnom odvjetniku dostavit će se i prijedlog zatvorenika. Na sjednicu se poziva zatvorenik. Prisutnost zatvorenika na sjednici vijeća može biti osigurana i putem zatvorenog tehničkog uređaja za vezu na daljinu (audio – video konferencija). Kada vijeće ocijeni da je to potrebno, na sjednicu će pozvati nadležnog službenika zatvora ili kaznionice u kojoj zatvorenik izdržava kaznu, nadležnog službenika </w:t>
      </w:r>
      <w:proofErr w:type="spellStart"/>
      <w:r w:rsidRPr="00ED7216">
        <w:rPr>
          <w:color w:val="000000"/>
          <w:sz w:val="20"/>
          <w:szCs w:val="20"/>
        </w:rPr>
        <w:t>probacijskog</w:t>
      </w:r>
      <w:proofErr w:type="spellEnd"/>
      <w:r w:rsidRPr="00ED7216">
        <w:rPr>
          <w:color w:val="000000"/>
          <w:sz w:val="20"/>
          <w:szCs w:val="20"/>
        </w:rPr>
        <w:t xml:space="preserve"> ureda, a po potrebi i druge osobe.</w:t>
      </w:r>
    </w:p>
    <w:p w:rsidR="00026F6E" w:rsidRPr="00ED7216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(3) Na sjednici vijeća za uvjetne otpuste predsjednik vijeća će izvijestiti vijeće o sadržaju pribavljene dokumentacije, saslušati zatvorenika, nakon čega će vijeće donijeti odluku o prijedlogu za uvjetni otpust. Rješenjem o uvjetnom otpustu sud može, uz pisani pristanak zatvorenika, odrediti provođenje elektronskog nadzora za vrijeme trajanja uvjetnog otpusta. Ministar nadležan za poslove pravosuđa propisat će pravilnikom vrstu, tehničke standarde i način provođenja elektronskog nadzora.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(4) Kada sudac izvršenja odlučuje o uvjetnom otpustu (članak 157. stavak 2.), postupit će u smislu stavka 1. ovog članka.</w:t>
      </w:r>
    </w:p>
    <w:p w:rsidR="00026F6E" w:rsidRPr="00ED7216" w:rsidRDefault="00026F6E" w:rsidP="00026F6E">
      <w:pPr>
        <w:pStyle w:val="t-10-9-sred"/>
        <w:spacing w:beforeLines="30" w:before="72" w:beforeAutospacing="0" w:afterLines="30" w:after="72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lastRenderedPageBreak/>
        <w:t>DOSTAVA PRAVOMOĆNOG RJEŠENJA O UVJETNOM OTPUSTU</w:t>
      </w:r>
    </w:p>
    <w:p w:rsidR="00026F6E" w:rsidRPr="00ED7216" w:rsidRDefault="00026F6E" w:rsidP="00026F6E">
      <w:pPr>
        <w:pStyle w:val="clanak-"/>
        <w:spacing w:beforeLines="30" w:before="72" w:beforeAutospacing="0" w:afterLines="30" w:after="72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159.c (NN 56/13)</w:t>
      </w:r>
    </w:p>
    <w:p w:rsidR="00026F6E" w:rsidRPr="00ED7216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(1) Pravomoćno rješenje o uvjetnom otpustu dostavlja se zatvoreniku, zatvoru ili kaznionici, sudu upućivanja, sudu koji je donio presudu prvog stupnja, centru za socijalnu skrb prema mjestu u koje se otpušta, policijskoj upravi nadležnoj prema mjestu u koje se otpušta, državnom odvjetniku koji je podnio prijedlog, državnom odvjetniku koji je bio obaviješten o sjednici vijeća kada je prijedlog podnio zatvorenik, sucu izvršenja te, ako je izrečena posebna obveza ili zaštitni nadzor, i </w:t>
      </w:r>
      <w:proofErr w:type="spellStart"/>
      <w:r w:rsidRPr="00ED7216">
        <w:rPr>
          <w:color w:val="000000"/>
          <w:sz w:val="20"/>
          <w:szCs w:val="20"/>
        </w:rPr>
        <w:t>probacijskom</w:t>
      </w:r>
      <w:proofErr w:type="spellEnd"/>
      <w:r w:rsidRPr="00ED7216">
        <w:rPr>
          <w:color w:val="000000"/>
          <w:sz w:val="20"/>
          <w:szCs w:val="20"/>
        </w:rPr>
        <w:t xml:space="preserve"> uredu nadležnima prema mjestu u koje se otpušta, tijelu koje provodi elektronski nadzor ako je takav nadzor određen rješenjem o uvjetnom otpustu te tijelu nadležnom za vođenje kaznene evidencije. Pravomoćno rješenje kojim je uvjetni otpust odbijen dostavlja se zatvoreniku, osobama koje su ponijele prijedlog, kaznionici odnosno zatvoru i državnom odvjetniku koji je bio obaviješten o sjednici vijeća kada je prijedlog podnio zatvorenik.</w:t>
      </w:r>
    </w:p>
    <w:p w:rsidR="00026F6E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(2) Pravomoćno rješenje o uvjetnom otpustu zatvorenika stranog državljanina koji nema prebivalište ili boravište u Republici Hrvatskoj dostavlja se osobama navedenim u stavku 1. ovoga članka te policijskoj upravi prema sjedištu zatvora ili kaznionice i diplomatskom, odnosno konzularnom predstavništvu države čiji je državljanin.</w:t>
      </w:r>
    </w:p>
    <w:p w:rsidR="0080025E" w:rsidRPr="00ED7216" w:rsidRDefault="0080025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</w:p>
    <w:p w:rsidR="00026F6E" w:rsidRPr="00ED7216" w:rsidRDefault="00026F6E" w:rsidP="00026F6E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PROVJERAVANJE UVJETNO OTPUŠTENOG OSUĐENIKA</w:t>
      </w:r>
    </w:p>
    <w:p w:rsidR="00026F6E" w:rsidRPr="00ED7216" w:rsidRDefault="00026F6E" w:rsidP="00026F6E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161. (NN 56/13)</w:t>
      </w:r>
    </w:p>
    <w:p w:rsidR="00026F6E" w:rsidRPr="00ED7216" w:rsidRDefault="00026F6E" w:rsidP="00026F6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(1) Sudac izvršenja nadležan prema mjestu u koje je osuđenik uvjetno otpušten pribavlja obavijesti od </w:t>
      </w:r>
      <w:proofErr w:type="spellStart"/>
      <w:r w:rsidRPr="00ED7216">
        <w:rPr>
          <w:color w:val="000000"/>
          <w:sz w:val="20"/>
          <w:szCs w:val="20"/>
        </w:rPr>
        <w:t>probacijskog</w:t>
      </w:r>
      <w:proofErr w:type="spellEnd"/>
      <w:r w:rsidRPr="00ED7216">
        <w:rPr>
          <w:color w:val="000000"/>
          <w:sz w:val="20"/>
          <w:szCs w:val="20"/>
        </w:rPr>
        <w:t xml:space="preserve"> ureda i centra za socijalnu skrb te samog osuđenika o izvršavanju posebnih obveza odnosno zaštitnog nadzora određenih rješenjem o uvjetnom otpustu i osuđenikovoj integraciji u zajednicu.</w:t>
      </w:r>
    </w:p>
    <w:p w:rsidR="00026F6E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(2) Uvjetno otpušteni osuđenik može promijeniti mjesto prebivališta, odnosno boravišta određeno u rješenju o uvjetnom otpustu samo uz suglasnost suca izvršenja.</w:t>
      </w:r>
    </w:p>
    <w:p w:rsidR="0080025E" w:rsidRPr="00ED7216" w:rsidRDefault="0080025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</w:p>
    <w:p w:rsidR="00026F6E" w:rsidRPr="00ED7216" w:rsidRDefault="00026F6E" w:rsidP="00026F6E">
      <w:pPr>
        <w:pStyle w:val="t-109sred"/>
        <w:spacing w:beforeLines="40" w:before="96" w:beforeAutospacing="0" w:afterLines="40" w:after="96" w:afterAutospacing="0"/>
        <w:jc w:val="center"/>
        <w:rPr>
          <w:caps/>
          <w:color w:val="000000"/>
          <w:sz w:val="20"/>
          <w:szCs w:val="20"/>
        </w:rPr>
      </w:pPr>
      <w:r w:rsidRPr="00ED7216">
        <w:rPr>
          <w:caps/>
          <w:color w:val="000000"/>
          <w:sz w:val="20"/>
          <w:szCs w:val="20"/>
        </w:rPr>
        <w:t>PRIPREMA ZA OTPUST</w:t>
      </w:r>
    </w:p>
    <w:p w:rsidR="00026F6E" w:rsidRPr="00ED7216" w:rsidRDefault="00026F6E" w:rsidP="00026F6E">
      <w:pPr>
        <w:pStyle w:val="clanak"/>
        <w:spacing w:beforeLines="40" w:before="96" w:beforeAutospacing="0" w:afterLines="40" w:after="96" w:afterAutospacing="0"/>
        <w:jc w:val="center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Članak 164. (NN 56/13)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(1) Pripremanje zatvorenika za otpust započinje nakon dolaska u kaznionicu ili zatvor. Zatvorenika se potiče na odgovorno sudjelovanje u pripremi za otpust u kaznionici, odnosno zatvoru i izvan kaznionice, odnosno zatvora, a posebice na održavanje odnosa s obitelji, kontaktiranje s tijelima državne vlasti, ustanovama i udrugama te osobama koje se organizirano bave uključivanjem zatvorenika u život na slobodi. Program priprema za otpust i pomoći zatvoreniku upisuje se u </w:t>
      </w:r>
      <w:proofErr w:type="spellStart"/>
      <w:r w:rsidRPr="00ED7216">
        <w:rPr>
          <w:color w:val="000000"/>
          <w:sz w:val="20"/>
          <w:szCs w:val="20"/>
        </w:rPr>
        <w:t>osobnik</w:t>
      </w:r>
      <w:proofErr w:type="spellEnd"/>
      <w:r w:rsidRPr="00ED7216">
        <w:rPr>
          <w:color w:val="000000"/>
          <w:sz w:val="20"/>
          <w:szCs w:val="20"/>
        </w:rPr>
        <w:t>.</w:t>
      </w:r>
    </w:p>
    <w:p w:rsidR="00026F6E" w:rsidRPr="00ED7216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>(2) Kaznionica, odnosno zatvor će najkasnije tri mjeseca prije otpusta uključiti zatvorenika u pojedinačni ili skupni savjetodavni rad u svezi s pripremanjem zatvorenika za otpust.</w:t>
      </w:r>
    </w:p>
    <w:p w:rsidR="00026F6E" w:rsidRPr="00ED7216" w:rsidRDefault="00026F6E" w:rsidP="00026F6E">
      <w:pPr>
        <w:pStyle w:val="t-9-8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(3) Na zahtjev kaznionice, odnosno zatvora ured za </w:t>
      </w:r>
      <w:proofErr w:type="spellStart"/>
      <w:r w:rsidRPr="00ED7216">
        <w:rPr>
          <w:color w:val="000000"/>
          <w:sz w:val="20"/>
          <w:szCs w:val="20"/>
        </w:rPr>
        <w:t>probaciju</w:t>
      </w:r>
      <w:proofErr w:type="spellEnd"/>
      <w:r w:rsidRPr="00ED7216">
        <w:rPr>
          <w:color w:val="000000"/>
          <w:sz w:val="20"/>
          <w:szCs w:val="20"/>
        </w:rPr>
        <w:t xml:space="preserve"> obavit će poslove pripreme prihvata zatvorenika poslije otpusta u skladu sa zakonom koji propisuje poslove </w:t>
      </w:r>
      <w:proofErr w:type="spellStart"/>
      <w:r w:rsidRPr="00ED7216">
        <w:rPr>
          <w:color w:val="000000"/>
          <w:sz w:val="20"/>
          <w:szCs w:val="20"/>
        </w:rPr>
        <w:t>probacije</w:t>
      </w:r>
      <w:proofErr w:type="spellEnd"/>
      <w:r w:rsidRPr="00ED7216">
        <w:rPr>
          <w:color w:val="000000"/>
          <w:sz w:val="20"/>
          <w:szCs w:val="20"/>
        </w:rPr>
        <w:t>.</w:t>
      </w:r>
    </w:p>
    <w:p w:rsidR="00026F6E" w:rsidRPr="00B613D7" w:rsidRDefault="00026F6E" w:rsidP="00026F6E">
      <w:pPr>
        <w:pStyle w:val="t-98-2"/>
        <w:spacing w:beforeLines="40" w:before="96" w:beforeAutospacing="0" w:afterLines="40" w:after="96" w:afterAutospacing="0"/>
        <w:jc w:val="both"/>
        <w:rPr>
          <w:color w:val="000000"/>
          <w:sz w:val="20"/>
          <w:szCs w:val="20"/>
        </w:rPr>
      </w:pPr>
      <w:r w:rsidRPr="00ED7216">
        <w:rPr>
          <w:color w:val="000000"/>
          <w:sz w:val="20"/>
          <w:szCs w:val="20"/>
        </w:rPr>
        <w:t xml:space="preserve">(4) Kaznionica, odnosno zatvor će prije otpusta zatvorenika koji izdržava kaznu zatvora zbog kaznenog djela protiv spolne slobode i spolnog ćudoređa, protiv života i tijela ili kaznenog djela s elementima nasilja, obavijestiti ustrojstvenu jedinicu Ministarstva pravosuđa nadležnu za podršku žrtvama i svjedocima radi obavješćivanja žrtve ili </w:t>
      </w:r>
      <w:proofErr w:type="spellStart"/>
      <w:r w:rsidRPr="00ED7216">
        <w:rPr>
          <w:color w:val="000000"/>
          <w:sz w:val="20"/>
          <w:szCs w:val="20"/>
        </w:rPr>
        <w:t>oštećenika</w:t>
      </w:r>
      <w:proofErr w:type="spellEnd"/>
      <w:r w:rsidRPr="00ED7216">
        <w:rPr>
          <w:color w:val="000000"/>
          <w:sz w:val="20"/>
          <w:szCs w:val="20"/>
        </w:rPr>
        <w:t xml:space="preserve"> ili njihove obitelji.</w:t>
      </w:r>
    </w:p>
    <w:p w:rsidR="00585596" w:rsidRDefault="00585596"/>
    <w:sectPr w:rsidR="00585596" w:rsidSect="00034586">
      <w:pgSz w:w="11906" w:h="16838"/>
      <w:pgMar w:top="851" w:right="1417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EE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0A"/>
    <w:rsid w:val="00026F6E"/>
    <w:rsid w:val="00034586"/>
    <w:rsid w:val="00585596"/>
    <w:rsid w:val="007073D6"/>
    <w:rsid w:val="00724674"/>
    <w:rsid w:val="00764E0A"/>
    <w:rsid w:val="0080025E"/>
    <w:rsid w:val="008E5461"/>
    <w:rsid w:val="00A96948"/>
    <w:rsid w:val="00B42E77"/>
    <w:rsid w:val="00DB579D"/>
    <w:rsid w:val="00E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48"/>
    <w:pPr>
      <w:spacing w:line="240" w:lineRule="auto"/>
      <w:jc w:val="both"/>
    </w:pPr>
    <w:rPr>
      <w:rFonts w:ascii="Cambria" w:hAnsi="Cambria"/>
      <w:sz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42E77"/>
    <w:pPr>
      <w:keepNext/>
      <w:keepLines/>
      <w:spacing w:after="240"/>
      <w:ind w:left="1134"/>
      <w:outlineLvl w:val="0"/>
    </w:pPr>
    <w:rPr>
      <w:rFonts w:asciiTheme="majorHAnsi" w:eastAsia="ヒラギノ角ゴ Pro W3" w:hAnsiTheme="majorHAnsi" w:cstheme="majorBidi"/>
      <w:b/>
      <w:bCs/>
      <w:color w:val="86000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79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43634" w:themeColor="accent2" w:themeShade="BF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4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43634" w:themeColor="accent2" w:themeShade="BF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24674"/>
    <w:pPr>
      <w:keepNext/>
      <w:keepLines/>
      <w:spacing w:before="320" w:after="120"/>
      <w:ind w:left="708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ASLOVI SREDINA"/>
    <w:basedOn w:val="Normal"/>
    <w:uiPriority w:val="1"/>
    <w:qFormat/>
    <w:rsid w:val="00DB579D"/>
    <w:pPr>
      <w:suppressLineNumbers/>
      <w:suppressAutoHyphens/>
      <w:spacing w:after="0"/>
      <w:jc w:val="center"/>
    </w:pPr>
    <w:rPr>
      <w:rFonts w:eastAsia="ヒラギノ角ゴ Pro W3" w:cs="Times New Roman"/>
      <w:b/>
      <w:color w:val="1F497D" w:themeColor="text2"/>
      <w:sz w:val="48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B42E77"/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B579D"/>
    <w:rPr>
      <w:rFonts w:asciiTheme="majorHAnsi" w:eastAsiaTheme="majorEastAsia" w:hAnsiTheme="majorHAnsi" w:cstheme="majorBidi"/>
      <w:b/>
      <w:bCs/>
      <w:color w:val="943634" w:themeColor="accent2" w:themeShade="BF"/>
      <w:sz w:val="40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E5461"/>
    <w:rPr>
      <w:rFonts w:asciiTheme="majorHAnsi" w:eastAsiaTheme="majorEastAsia" w:hAnsiTheme="majorHAnsi" w:cstheme="majorBidi"/>
      <w:b/>
      <w:bCs/>
      <w:color w:val="943634" w:themeColor="accent2" w:themeShade="BF"/>
      <w:sz w:val="28"/>
    </w:rPr>
  </w:style>
  <w:style w:type="character" w:customStyle="1" w:styleId="Naslov4Char">
    <w:name w:val="Naslov 4 Char"/>
    <w:basedOn w:val="Zadanifontodlomka"/>
    <w:link w:val="Naslov4"/>
    <w:uiPriority w:val="9"/>
    <w:rsid w:val="00724674"/>
    <w:rPr>
      <w:rFonts w:asciiTheme="majorHAnsi" w:eastAsiaTheme="majorEastAsia" w:hAnsiTheme="majorHAnsi" w:cstheme="majorBidi"/>
      <w:b/>
      <w:bCs/>
      <w:iCs/>
      <w:color w:val="1F497D" w:themeColor="text2"/>
    </w:rPr>
  </w:style>
  <w:style w:type="paragraph" w:customStyle="1" w:styleId="t-109sred">
    <w:name w:val="t-109sred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8-2">
    <w:name w:val="t-98-2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lanak-">
    <w:name w:val="clanak-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10-9-sred">
    <w:name w:val="t-10-9-sred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48"/>
    <w:pPr>
      <w:spacing w:line="240" w:lineRule="auto"/>
      <w:jc w:val="both"/>
    </w:pPr>
    <w:rPr>
      <w:rFonts w:ascii="Cambria" w:hAnsi="Cambria"/>
      <w:sz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42E77"/>
    <w:pPr>
      <w:keepNext/>
      <w:keepLines/>
      <w:spacing w:after="240"/>
      <w:ind w:left="1134"/>
      <w:outlineLvl w:val="0"/>
    </w:pPr>
    <w:rPr>
      <w:rFonts w:asciiTheme="majorHAnsi" w:eastAsia="ヒラギノ角ゴ Pro W3" w:hAnsiTheme="majorHAnsi" w:cstheme="majorBidi"/>
      <w:b/>
      <w:bCs/>
      <w:color w:val="860000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B579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43634" w:themeColor="accent2" w:themeShade="BF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E546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943634" w:themeColor="accent2" w:themeShade="BF"/>
      <w:sz w:val="28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724674"/>
    <w:pPr>
      <w:keepNext/>
      <w:keepLines/>
      <w:spacing w:before="320" w:after="120"/>
      <w:ind w:left="708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liases w:val="NASLOVI SREDINA"/>
    <w:basedOn w:val="Normal"/>
    <w:uiPriority w:val="1"/>
    <w:qFormat/>
    <w:rsid w:val="00DB579D"/>
    <w:pPr>
      <w:suppressLineNumbers/>
      <w:suppressAutoHyphens/>
      <w:spacing w:after="0"/>
      <w:jc w:val="center"/>
    </w:pPr>
    <w:rPr>
      <w:rFonts w:eastAsia="ヒラギノ角ゴ Pro W3" w:cs="Times New Roman"/>
      <w:b/>
      <w:color w:val="1F497D" w:themeColor="text2"/>
      <w:sz w:val="48"/>
      <w:szCs w:val="24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B42E77"/>
    <w:rPr>
      <w:rFonts w:asciiTheme="majorHAnsi" w:eastAsia="ヒラギノ角ゴ Pro W3" w:hAnsiTheme="majorHAnsi" w:cstheme="majorBidi"/>
      <w:b/>
      <w:bCs/>
      <w:color w:val="86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B579D"/>
    <w:rPr>
      <w:rFonts w:asciiTheme="majorHAnsi" w:eastAsiaTheme="majorEastAsia" w:hAnsiTheme="majorHAnsi" w:cstheme="majorBidi"/>
      <w:b/>
      <w:bCs/>
      <w:color w:val="943634" w:themeColor="accent2" w:themeShade="BF"/>
      <w:sz w:val="40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E5461"/>
    <w:rPr>
      <w:rFonts w:asciiTheme="majorHAnsi" w:eastAsiaTheme="majorEastAsia" w:hAnsiTheme="majorHAnsi" w:cstheme="majorBidi"/>
      <w:b/>
      <w:bCs/>
      <w:color w:val="943634" w:themeColor="accent2" w:themeShade="BF"/>
      <w:sz w:val="28"/>
    </w:rPr>
  </w:style>
  <w:style w:type="character" w:customStyle="1" w:styleId="Naslov4Char">
    <w:name w:val="Naslov 4 Char"/>
    <w:basedOn w:val="Zadanifontodlomka"/>
    <w:link w:val="Naslov4"/>
    <w:uiPriority w:val="9"/>
    <w:rsid w:val="00724674"/>
    <w:rPr>
      <w:rFonts w:asciiTheme="majorHAnsi" w:eastAsiaTheme="majorEastAsia" w:hAnsiTheme="majorHAnsi" w:cstheme="majorBidi"/>
      <w:b/>
      <w:bCs/>
      <w:iCs/>
      <w:color w:val="1F497D" w:themeColor="text2"/>
    </w:rPr>
  </w:style>
  <w:style w:type="paragraph" w:customStyle="1" w:styleId="t-109sred">
    <w:name w:val="t-109sred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lanak">
    <w:name w:val="clanak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8-2">
    <w:name w:val="t-98-2"/>
    <w:basedOn w:val="Normal"/>
    <w:rsid w:val="00764E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lanak-">
    <w:name w:val="clanak-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-10-9-sred">
    <w:name w:val="t-10-9-sred"/>
    <w:basedOn w:val="Normal"/>
    <w:rsid w:val="00026F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Zovko Mandić</dc:creator>
  <cp:lastModifiedBy>Marija Grbin</cp:lastModifiedBy>
  <cp:revision>2</cp:revision>
  <dcterms:created xsi:type="dcterms:W3CDTF">2017-06-05T10:00:00Z</dcterms:created>
  <dcterms:modified xsi:type="dcterms:W3CDTF">2017-06-05T10:00:00Z</dcterms:modified>
</cp:coreProperties>
</file>